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283" w:right="-57" w:hanging="0"/>
        <w:jc w:val="center"/>
        <w:rPr/>
      </w:pPr>
      <w:r>
        <w:rPr>
          <w:b/>
          <w:i/>
          <w:iCs/>
          <w:sz w:val="28"/>
          <w:szCs w:val="28"/>
        </w:rPr>
        <w:t xml:space="preserve">Проведение </w:t>
      </w:r>
      <w:r>
        <w:rPr>
          <w:rFonts w:cs="Times New Roman"/>
          <w:b/>
          <w:i/>
          <w:iCs/>
          <w:sz w:val="28"/>
          <w:szCs w:val="28"/>
        </w:rPr>
        <w:t>муниципального этапа Всероссийского конкурса профессионального мастерства работников сферы дополнительного образования учреждений образования города Омска, подведомственных департаменту образования Администрации города Омска,</w:t>
      </w:r>
    </w:p>
    <w:p>
      <w:pPr>
        <w:pStyle w:val="Normal"/>
        <w:widowControl/>
        <w:bidi w:val="0"/>
        <w:spacing w:lineRule="auto" w:line="240" w:before="0" w:after="0"/>
        <w:ind w:left="283" w:right="-57" w:hanging="0"/>
        <w:jc w:val="center"/>
        <w:rPr/>
      </w:pPr>
      <w:r>
        <w:rPr>
          <w:rFonts w:cs="Times New Roman"/>
          <w:b/>
          <w:i/>
          <w:iCs/>
          <w:sz w:val="28"/>
          <w:szCs w:val="28"/>
        </w:rPr>
        <w:t>«Сердце отдаю детям»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ЗАОЧНЫЙ ТУР</w:t>
      </w:r>
    </w:p>
    <w:p>
      <w:pPr>
        <w:pStyle w:val="Normal"/>
        <w:spacing w:lineRule="auto" w:line="259"/>
        <w:ind w:left="2" w:hanging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Конкурсное испытание</w:t>
      </w:r>
    </w:p>
    <w:p>
      <w:pPr>
        <w:pStyle w:val="Normal"/>
        <w:spacing w:lineRule="auto" w:line="259"/>
        <w:ind w:left="2" w:hanging="0"/>
        <w:jc w:val="center"/>
        <w:rPr/>
      </w:pPr>
      <w:r>
        <w:rPr>
          <w:b/>
          <w:sz w:val="28"/>
          <w:szCs w:val="28"/>
        </w:rPr>
        <w:t>«Дополнительная общеобразовательная (общеразвивающая или предпрофессиональная) программа и сведения о результативности и качестве реализации дополнительной общеобразовательной программы»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>осуществляется по 7 критериям.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>Критерий включает 5 показателей, раскрывающих содержание критерия.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4 балла –</w:t>
      </w:r>
      <w:r>
        <w:rPr>
          <w:sz w:val="24"/>
          <w:szCs w:val="24"/>
        </w:rPr>
        <w:t xml:space="preserve"> «соответствует в полной мере»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3 балла – </w:t>
      </w:r>
      <w:r>
        <w:rPr>
          <w:sz w:val="24"/>
          <w:szCs w:val="24"/>
        </w:rPr>
        <w:t>«соответствует в достаточной мере»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соответствует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соответствует с недочетами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не соответствует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Максимальная оценка за конкурсное испытание – </w:t>
      </w:r>
      <w:r>
        <w:rPr>
          <w:b/>
          <w:bCs/>
          <w:sz w:val="24"/>
          <w:szCs w:val="24"/>
        </w:rPr>
        <w:t>28 баллов.</w:t>
      </w:r>
    </w:p>
    <w:tbl>
      <w:tblPr>
        <w:tblW w:w="9465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12"/>
        <w:gridCol w:w="1259"/>
        <w:gridCol w:w="1351"/>
        <w:gridCol w:w="1302"/>
        <w:gridCol w:w="1302"/>
        <w:gridCol w:w="1538"/>
      </w:tblGrid>
      <w:tr>
        <w:trPr>
          <w:trHeight w:val="235" w:hRule="atLeast"/>
        </w:trPr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1" w:leader="none"/>
              </w:tabs>
              <w:ind w:right="57" w:hanging="0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tabs>
                <w:tab w:val="clear" w:pos="708"/>
                <w:tab w:val="left" w:pos="421" w:leader="none"/>
              </w:tabs>
              <w:ind w:right="57" w:hanging="0"/>
              <w:jc w:val="center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271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421" w:leader="none"/>
              </w:tabs>
              <w:ind w:left="57" w:right="57" w:hanging="283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не соответствует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 с  недочетами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 в достаточной мере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соответствует в полной мере</w:t>
            </w:r>
          </w:p>
        </w:tc>
      </w:tr>
      <w:tr>
        <w:trPr>
          <w:trHeight w:val="276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1. Наличие на сайте утвержденной дополнительной общеобразовательной программы (ДОП)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</w:tr>
      <w:tr>
        <w:trPr>
          <w:trHeight w:val="545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2. Соответствие структуры ДОП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  <w:bookmarkStart w:id="0" w:name="_GoBack"/>
            <w:bookmarkEnd w:id="0"/>
          </w:p>
        </w:tc>
      </w:tr>
      <w:tr>
        <w:trPr>
          <w:trHeight w:val="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3. Соответствие содержания ДОП направленности, цели, задачам обучения и воспитания целевой аудитории детей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4. Наличие и целесообразность планируемых результатов, организационно-педагогических условий, порядка и форм текущего контроля и промежуточной аттестации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5. Наличие и целесообразность оценочных и методических материалов ДОП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6. Наличие положительной динамики результативности за текущий период реализации ДОП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317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7. Наличие системы оценки качества реализации Программы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</w:tr>
      <w:tr>
        <w:trPr>
          <w:trHeight w:val="1" w:hRule="atLeast"/>
        </w:trPr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tabs>
                <w:tab w:val="clear" w:pos="708"/>
                <w:tab w:val="left" w:pos="459" w:leader="none"/>
              </w:tabs>
              <w:ind w:left="720" w:right="57" w:hanging="0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  <w:r>
              <w:rPr>
                <w:rFonts w:eastAsia="Calibri"/>
                <w:i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67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0 - 28</w:t>
            </w:r>
          </w:p>
        </w:tc>
      </w:tr>
    </w:tbl>
    <w:p>
      <w:pPr>
        <w:pStyle w:val="Normal"/>
        <w:widowControl/>
        <w:bidi w:val="0"/>
        <w:spacing w:lineRule="auto" w:line="240" w:before="0" w:after="0"/>
        <w:ind w:left="-567" w:right="-737" w:hanging="0"/>
        <w:jc w:val="center"/>
        <w:rPr>
          <w:rFonts w:ascii="Times New Roman" w:hAnsi="Times New Roman" w:eastAsia="Calibri" w:eastAsiaTheme="minorHAnsi"/>
          <w:color w:val="000000"/>
          <w:sz w:val="24"/>
          <w:szCs w:val="24"/>
          <w:lang w:eastAsia="en-US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Конкурсное испытание «</w:t>
      </w:r>
      <w:r>
        <w:rPr>
          <w:b/>
          <w:bCs/>
          <w:sz w:val="28"/>
          <w:szCs w:val="28"/>
        </w:rPr>
        <w:t>Занятие» (видеозапись)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осуществляется по 5 критериям.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b/>
          <w:b/>
          <w:bCs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2 балла - «показатель проявлен в полной мере»; </w:t>
      </w:r>
    </w:p>
    <w:p>
      <w:pPr>
        <w:pStyle w:val="Normal"/>
        <w:rPr>
          <w:b/>
          <w:b/>
          <w:bCs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1 балл - «показатель проявлен частично»; </w:t>
      </w:r>
    </w:p>
    <w:p>
      <w:pPr>
        <w:pStyle w:val="Normal"/>
        <w:rPr>
          <w:b/>
          <w:b/>
          <w:bCs/>
        </w:rPr>
      </w:pPr>
      <w:r>
        <w:rPr>
          <w:rFonts w:eastAsia="Calibri" w:eastAsiaTheme="minorHAnsi"/>
          <w:b w:val="false"/>
          <w:bCs w:val="false"/>
          <w:color w:val="000000"/>
          <w:sz w:val="24"/>
          <w:szCs w:val="24"/>
          <w:lang w:eastAsia="en-US"/>
        </w:rPr>
        <w:t xml:space="preserve">0 баллов - «показатель не проявлен». </w:t>
      </w:r>
    </w:p>
    <w:p>
      <w:pPr>
        <w:pStyle w:val="Normal"/>
        <w:jc w:val="both"/>
        <w:rPr/>
      </w:pPr>
      <w:r>
        <w:rPr>
          <w:sz w:val="24"/>
          <w:szCs w:val="24"/>
        </w:rPr>
        <w:t>Максимальная оценка за конкурсное испытание «</w:t>
      </w:r>
      <w:r>
        <w:rPr>
          <w:bCs/>
          <w:sz w:val="24"/>
          <w:szCs w:val="24"/>
        </w:rPr>
        <w:t xml:space="preserve">Занятие» </w:t>
      </w:r>
      <w:r>
        <w:rPr>
          <w:sz w:val="24"/>
          <w:szCs w:val="24"/>
        </w:rPr>
        <w:t>видеозапись,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заочный тур – </w:t>
      </w:r>
      <w:r>
        <w:rPr>
          <w:b/>
          <w:bCs/>
          <w:sz w:val="24"/>
          <w:szCs w:val="24"/>
        </w:rPr>
        <w:t>50 баллов</w:t>
      </w:r>
    </w:p>
    <w:tbl>
      <w:tblPr>
        <w:tblStyle w:val="a6"/>
        <w:tblW w:w="9525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219"/>
        <w:gridCol w:w="1305"/>
      </w:tblGrid>
      <w:tr>
        <w:trPr/>
        <w:tc>
          <w:tcPr>
            <w:tcW w:w="95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Корректность и глубина понимания содержания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 ориентируется на цели, задачи и планируемые результаты при отборе учебного материала и проведении занятия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 акцентирует внимание на смысловых и ценностных аспектах содержания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 показывает практическую ценность содержания занятия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 демонстрирует глубокое понимание содержания и профессиональный кругозор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 владеет профессиональной терминологией и корректно использует понятийный аппарат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95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Методическая и психолого-педагогическая грамотность при проведении занятия и поддержка учебной мотивации 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2.1 системно и последовательно организует работу на занятии с оптимальным объемом учебной информации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2.2 создает на занятии мотивирующую и доброжелательную образовательную среду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2.3 учитывает возрастные и социокультурные особенности учащихся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2.4 демонстрирует преемственность своих методических принципов и теоретических разработок с практикой проведения занятия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2.5 реализует здоровьесберегающие подходы, использует приемы снятия психофизического напряжения и органичную смену видов учебной деятельности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5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Творческий и адекватный подход к решению профессиональных задач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3.1 стимулирует познавательный интерес, творческую и исследовательскую активность обучающихся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3.2 создает на занятии целесообразные проблемные ситуации, ситуации значимого выбора и принятия решений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3.3 демонстрирует педагогическую гибкость, готовность к импровизации, способность вносить оптимальные коррективы в структуру и содержание занятия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3.4 целесообразно применяет педагогические технологии (в том числе ИКТ)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3.5 адекватно использует свои авторские разработки и творчески перерабатывает базовые педагогические материалы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5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 Коммуникативная и речевая культура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4.1 учитывает при выстраивании коммуникации возрастные и поведенческие особенности обучающихся, успешно преодолевает коммуникативные барьеры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4.2 целесообразно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использует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разнообразные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средства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передачи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содержания,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адекватную визуализацию и эффективные способы коммуникации,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демонстрируя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высокий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уровень речевой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4.3 использует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четкие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понятные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инструкции,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различные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способы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организации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эффективной обратной связи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4.4 поддерживает различные способы конструктивного взаимодействия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обучающихся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учебной кооперации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4.5 способствует развитию речевой культуры обучающихся, умения</w:t>
            </w:r>
            <w:r>
              <w:rPr>
                <w:spacing w:val="-58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формулировать вопросы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9524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 Целеполагание и результативность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максимальная оценка по критерию 10 баллов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 использует эффективные педагогические подходы для достижения образовательных результатов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5.2 соотносит цели, задачи и планируемые результаты при организации учебной активности, поддерживает осознанное отношение к познавательной деятельности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16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5.3 поддерживает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достижение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индивидуальных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образовательных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результатов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rPr>
                <w:spacing w:val="-5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ориентацию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личную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учебную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успешность обучающихся,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обеспечивая достижение</w:t>
            </w:r>
            <w:r>
              <w:rPr>
                <w:spacing w:val="-3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планируемого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результата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занятия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5.4 помогает обучающимся проявлять свою самостоятельность и индивидуальность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/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5.5 целесообразно и точно использует разные способы оценивания образовательных результатов и способствует развитию рефлексивной культуры обучающегося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0 - 2</w:t>
            </w:r>
          </w:p>
        </w:tc>
      </w:tr>
      <w:tr>
        <w:trPr>
          <w:trHeight w:val="320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  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20" w:hRule="atLeast"/>
        </w:trPr>
        <w:tc>
          <w:tcPr>
            <w:tcW w:w="821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баллов по заочному туру</w:t>
            </w:r>
          </w:p>
        </w:tc>
        <w:tc>
          <w:tcPr>
            <w:tcW w:w="130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0 - 50</w:t>
            </w:r>
          </w:p>
        </w:tc>
      </w:tr>
    </w:tbl>
    <w:p>
      <w:pPr>
        <w:pStyle w:val="Normal"/>
        <w:jc w:val="both"/>
        <w:rPr>
          <w:rFonts w:ascii="Times New Roman" w:hAnsi="Times New Roman"/>
          <w:b/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ОЧНЫЙ ТУР</w:t>
      </w:r>
    </w:p>
    <w:p>
      <w:pPr>
        <w:pStyle w:val="Normal"/>
        <w:tabs>
          <w:tab w:val="clear" w:pos="708"/>
          <w:tab w:val="left" w:pos="107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Конкурсное испытание «Открытый  мастер-класс</w:t>
      </w:r>
    </w:p>
    <w:p>
      <w:pPr>
        <w:pStyle w:val="Normal"/>
        <w:tabs>
          <w:tab w:val="clear" w:pos="708"/>
          <w:tab w:val="left" w:pos="107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«Новые формы организации обучения и воспитания детей</w:t>
      </w:r>
    </w:p>
    <w:p>
      <w:pPr>
        <w:pStyle w:val="Normal"/>
        <w:tabs>
          <w:tab w:val="clear" w:pos="708"/>
          <w:tab w:val="left" w:pos="107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в дополнительном образовании»</w:t>
      </w:r>
    </w:p>
    <w:p>
      <w:pPr>
        <w:pStyle w:val="Normal"/>
        <w:jc w:val="both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осуществляется по 10 критериям.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5 баллов –</w:t>
      </w:r>
      <w:r>
        <w:rPr>
          <w:sz w:val="24"/>
          <w:szCs w:val="24"/>
        </w:rPr>
        <w:t xml:space="preserve"> «достиг совершенства профессионального мастерства»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4 балла –</w:t>
      </w:r>
      <w:r>
        <w:rPr>
          <w:sz w:val="24"/>
          <w:szCs w:val="24"/>
        </w:rPr>
        <w:t xml:space="preserve"> «умеет в полной мере»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3 балла – «</w:t>
      </w:r>
      <w:r>
        <w:rPr>
          <w:sz w:val="24"/>
          <w:szCs w:val="24"/>
        </w:rPr>
        <w:t>умеет в достаточной мере»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умеет в необходимой мере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умеет недостаточно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не умеет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Максимальная оценка за конкурсное испытание – </w:t>
      </w:r>
      <w:r>
        <w:rPr>
          <w:b/>
          <w:bCs/>
          <w:sz w:val="24"/>
          <w:szCs w:val="24"/>
        </w:rPr>
        <w:t>50 баллов.</w:t>
      </w:r>
    </w:p>
    <w:tbl>
      <w:tblPr>
        <w:tblW w:w="9465" w:type="dxa"/>
        <w:jc w:val="left"/>
        <w:tblInd w:w="16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1"/>
        <w:gridCol w:w="1124"/>
        <w:gridCol w:w="1080"/>
        <w:gridCol w:w="959"/>
        <w:gridCol w:w="914"/>
        <w:gridCol w:w="1305"/>
        <w:gridCol w:w="1191"/>
      </w:tblGrid>
      <w:tr>
        <w:trPr>
          <w:trHeight w:val="306" w:hRule="atLeast"/>
        </w:trPr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ind w:left="57" w:right="57" w:hanging="0"/>
              <w:jc w:val="center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657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ind w:left="2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289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421" w:leader="none"/>
              </w:tabs>
              <w:ind w:left="57" w:right="57" w:hanging="283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 умеет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недоста-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точно</w:t>
            </w:r>
          </w:p>
          <w:p>
            <w:pPr>
              <w:pStyle w:val="Normal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в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димой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мере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 в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достаточ-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ной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мере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умеет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в полной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мере</w:t>
            </w:r>
          </w:p>
          <w:p>
            <w:pPr>
              <w:pStyle w:val="Normal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достиг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совершенства</w:t>
            </w:r>
          </w:p>
          <w:p>
            <w:pPr>
              <w:pStyle w:val="Normal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профессионального мастерства</w:t>
            </w:r>
          </w:p>
        </w:tc>
      </w:tr>
      <w:tr>
        <w:trPr>
          <w:trHeight w:val="276" w:hRule="atLeast"/>
        </w:trPr>
        <w:tc>
          <w:tcPr>
            <w:tcW w:w="28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421" w:leader="none"/>
              </w:tabs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1. Умение выявить и представить новую форму организации обучения и воспитания детей в дополнительном об</w:t>
              <w:softHyphen/>
              <w:t>разовании в рамках реализуемой ДОП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545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13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2. Умение дифференцировать и предъявить новые профессиональные компетенции по внедрению новых форм в обучение и воспитание детей по ДОП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3. Умение представить педагогически обоснованные и эффективные формы, методы, средства и приемы обучения и воспитания детей в рамках ДОП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113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4. Умение вовлечь слушателей мастер-класса в конструктивный диалог и достичь планируемого результата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5. Умение целесообразного и обоснованного использования информационно-коммуникационных технологий (ИКТ), электронных образовательных и информационных ресурсов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6. Умение отрефлексировать и представить эффективные практики методического обеспечения качества реализации ДОП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7. Умение отрефлексировать и  представить эффективные практики методического сопровождения профориентации обучающихся при реализации ДОП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57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8. Умение отрефлексировать и  представить эффективные практики методического сопровождения благоприятного психологического климата и педагогической поддержки обучающихся, в том числе уязвимых категорий, при реализации ДОП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 xml:space="preserve">9. Умение обеспечить целостность и завершённость мастер-класса, оригинальность формы его проведения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bidi w:val="0"/>
              <w:spacing w:lineRule="auto" w:line="240" w:before="0" w:after="0"/>
              <w:ind w:left="0" w:right="57" w:hanging="0"/>
              <w:contextualSpacing/>
              <w:jc w:val="left"/>
              <w:rPr/>
            </w:pPr>
            <w:r>
              <w:rPr>
                <w:sz w:val="24"/>
                <w:szCs w:val="24"/>
              </w:rPr>
              <w:t>10. Умение анализировать мастер-класс для установления соответствия содержания, методов и средств поставленным целям и задачам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1" w:hRule="atLeast"/>
        </w:trPr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1" w:leader="none"/>
              </w:tabs>
              <w:ind w:right="57" w:hanging="0"/>
              <w:jc w:val="right"/>
              <w:rPr/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  <w:r>
              <w:rPr>
                <w:rFonts w:eastAsia="Calibri"/>
                <w:i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65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0 - 50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highlight w:val="yellow"/>
        </w:rPr>
      </w:pPr>
      <w:r>
        <w:rPr>
          <w:b/>
          <w:sz w:val="28"/>
          <w:szCs w:val="28"/>
        </w:rPr>
        <w:t>Конкурсное испытание «Выступление (импровизация)»</w:t>
      </w:r>
    </w:p>
    <w:p>
      <w:pPr>
        <w:pStyle w:val="Normal"/>
        <w:jc w:val="both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осуществляется по 3 критериям.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>Каждый показатель оценивается по шкале от 0 до 2 баллов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0 баллов – «показатель не проявлен»,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1 балл – «показатель проявлен частично»,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2 балла – «показатель проявлен в полной мере».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Максимальная оценка за конкурсное испытание – 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>20 баллов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. </w:t>
      </w:r>
    </w:p>
    <w:tbl>
      <w:tblPr>
        <w:tblW w:w="9525" w:type="dxa"/>
        <w:jc w:val="left"/>
        <w:tblInd w:w="117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2"/>
        <w:gridCol w:w="7545"/>
        <w:gridCol w:w="1308"/>
      </w:tblGrid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Критерии и показатели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Баллы 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b/>
                <w:bCs/>
                <w:sz w:val="24"/>
                <w:szCs w:val="24"/>
              </w:rPr>
              <w:t>Общая и профессиональная педагогическая эрудиция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1.1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знание и понимание современных тенденций развития дополнительного образования детей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1.2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демонстрирует знание и понимание нормативно-правовых актов, регламентирующих дополнительное образование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1.3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глубокое понимание предложенной профессиональной темы, способен представить собственную позицию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1.4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приводит конструктивные и реалистичные аргументы при обосновании собственной позиции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Ценностные ориентиры в профессиональной деятельности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2.1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демонстрирует понимание роли педагога в развитии российского дополнительного образования в целом, а также в разрезе предложенной темы, в частности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2.2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>способен критически отнестись к своей профессиональной компетентности, демонстрирует готовность к совершенствованию собственных профессиональных качеств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2.3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  <w:t xml:space="preserve">обозначает приоритеты своей профессиональной деятельности, подтверждает их конкретными примерами из своего педагогического опыта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Коммуникативная и языковая культура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3.1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56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владеет риторическими навыками публичной деловой речи, языковой грамотностью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3.2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9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способен логически правильно излагать мысли, подкреплять содержание аргументами и конкретными примерами и фактами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9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выступление построено с учетом целевой аудитории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</w:t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highlight w:val="yellow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  <w:t xml:space="preserve">3.3 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pacing w:lineRule="exact" w:line="269"/>
              <w:jc w:val="both"/>
              <w:rPr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правильно реагирует на вопросы, дает развернутые ответы, проявляет</w:t>
            </w:r>
            <w:r>
              <w:rPr>
                <w:spacing w:val="-3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такт,</w:t>
            </w:r>
            <w:r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культуру общения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Calibri" w:eastAsiaTheme="minorHAnsi"/>
                <w:b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</w:r>
          </w:p>
        </w:tc>
      </w:tr>
      <w:tr>
        <w:trPr>
          <w:trHeight w:val="107" w:hRule="atLeast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Times New Roman" w:hAnsi="Times New Roman" w:eastAsia="Calibri" w:eastAsiaTheme="minorHAnsi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sz w:val="24"/>
                <w:szCs w:val="24"/>
                <w:lang w:eastAsia="en-US"/>
              </w:rPr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>0-20</w:t>
            </w:r>
          </w:p>
        </w:tc>
      </w:tr>
    </w:tbl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b/>
          <w:b/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/>
          <w:i w:val="false"/>
          <w:i w:val="false"/>
          <w:color w:val="000000"/>
          <w:sz w:val="28"/>
          <w:szCs w:val="28"/>
        </w:rPr>
      </w:pPr>
      <w:r>
        <w:rPr>
          <w:b/>
          <w:i w:val="false"/>
          <w:iCs w:val="false"/>
          <w:color w:val="000000"/>
          <w:sz w:val="28"/>
          <w:szCs w:val="28"/>
        </w:rPr>
        <w:t>ФИНАЛ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Конкурсное испытание «Педагогическое многоборье»</w:t>
      </w:r>
    </w:p>
    <w:p>
      <w:pPr>
        <w:pStyle w:val="Normal"/>
        <w:jc w:val="both"/>
        <w:rPr/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Оценка конкурсного испытания</w:t>
      </w:r>
      <w:r>
        <w:rPr>
          <w:rFonts w:eastAsia="Calibri" w:eastAsiaTheme="minorHAnsi"/>
          <w:b/>
          <w:bCs/>
          <w:color w:val="000000"/>
          <w:sz w:val="24"/>
          <w:szCs w:val="24"/>
          <w:lang w:eastAsia="en-US"/>
        </w:rPr>
        <w:t xml:space="preserve">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осуществляется по 5 критериям. Варианты оценки по критерию имеют следующее выражение в баллах: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0 баллов - не владеет;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1 – 2 балла - владеет в достаточной мере,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3 балла – владеет в полной мере.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Максимальная оценка за конкурсное испытание – </w:t>
      </w:r>
      <w:r>
        <w:rPr>
          <w:b/>
          <w:bCs/>
          <w:sz w:val="24"/>
          <w:szCs w:val="24"/>
        </w:rPr>
        <w:t>15 баллов</w:t>
      </w:r>
    </w:p>
    <w:tbl>
      <w:tblPr>
        <w:tblW w:w="9465" w:type="dxa"/>
        <w:jc w:val="left"/>
        <w:tblInd w:w="16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576"/>
        <w:gridCol w:w="946"/>
        <w:gridCol w:w="1017"/>
        <w:gridCol w:w="960"/>
        <w:gridCol w:w="966"/>
      </w:tblGrid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360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59"/>
              <w:ind w:left="29" w:hanging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1" w:leader="none"/>
              </w:tabs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 xml:space="preserve">Решение проблемной ситуации направлено на поиск причины ее возникновения, а не только на устранение видимых последствий 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1" w:leader="none"/>
              </w:tabs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Умение применять целесообразные ситуациям и задачам методы и технологии решения. </w:t>
            </w:r>
            <w:r>
              <w:rPr>
                <w:rFonts w:eastAsia="Calibri"/>
                <w:sz w:val="24"/>
                <w:szCs w:val="24"/>
                <w:shd w:fill="auto" w:val="clear"/>
              </w:rPr>
              <w:t xml:space="preserve"> Предложены альтернативные варианты решения проблемной ситуации (1 и более)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1" w:leader="none"/>
              </w:tabs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Перечень запланированных мероприятий обеспечивает решение представленных проблем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1" w:leader="none"/>
              </w:tabs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Практикоориентированная обоснованность решения ситуации (приведены примеры из своей деятельности)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tabs>
                <w:tab w:val="clear" w:pos="708"/>
                <w:tab w:val="left" w:pos="421" w:leader="none"/>
              </w:tabs>
              <w:ind w:left="34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shd w:fill="auto" w:val="clear"/>
              </w:rPr>
              <w:t>Даны обоснованные ответы на все поступившие вопросы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</w:tr>
      <w:tr>
        <w:trPr>
          <w:trHeight w:val="1" w:hRule="atLeast"/>
        </w:trPr>
        <w:tc>
          <w:tcPr>
            <w:tcW w:w="5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1" w:leader="none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  <w:r>
              <w:rPr>
                <w:rFonts w:eastAsia="Calibri"/>
                <w:i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3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0 - 15</w:t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Конкурсное испытание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«Свободная педагогическая дискуссия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>«Высшая Лига дополнительного образования детей»</w:t>
      </w:r>
    </w:p>
    <w:p>
      <w:pPr>
        <w:pStyle w:val="Normal"/>
        <w:jc w:val="both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Оценка конкурсного испытания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осуществляется по 8 критериям.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Варианты оценки по показателю имеют следующее выражение в баллах: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5 баллов –</w:t>
      </w:r>
      <w:r>
        <w:rPr>
          <w:sz w:val="24"/>
          <w:szCs w:val="24"/>
        </w:rPr>
        <w:t xml:space="preserve"> «владеет в полной мере»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4 балла –</w:t>
      </w:r>
      <w:r>
        <w:rPr>
          <w:sz w:val="24"/>
          <w:szCs w:val="24"/>
        </w:rPr>
        <w:t xml:space="preserve"> «владеет в достаточной мере»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3 балла – «</w:t>
      </w:r>
      <w:r>
        <w:rPr>
          <w:sz w:val="24"/>
          <w:szCs w:val="24"/>
        </w:rPr>
        <w:t>владеет в необходимой мере»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2 балла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владеет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1 балл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владеет недостаточно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»; </w:t>
      </w:r>
    </w:p>
    <w:p>
      <w:pPr>
        <w:pStyle w:val="Normal"/>
        <w:rPr>
          <w:highlight w:val="yellow"/>
        </w:rPr>
      </w:pP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0 баллов </w:t>
      </w:r>
      <w:r>
        <w:rPr>
          <w:rFonts w:eastAsia="Calibri" w:eastAsiaTheme="minorHAnsi"/>
          <w:color w:val="000000"/>
          <w:sz w:val="24"/>
          <w:szCs w:val="24"/>
          <w:lang w:eastAsia="en-US"/>
        </w:rPr>
        <w:t xml:space="preserve">- 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>«</w:t>
      </w:r>
      <w:r>
        <w:rPr>
          <w:sz w:val="24"/>
          <w:szCs w:val="24"/>
        </w:rPr>
        <w:t>не владеет</w:t>
      </w:r>
      <w:r>
        <w:rPr>
          <w:rFonts w:eastAsia="Calibri" w:eastAsiaTheme="minorHAnsi"/>
          <w:bCs/>
          <w:color w:val="000000"/>
          <w:sz w:val="24"/>
          <w:szCs w:val="24"/>
          <w:lang w:eastAsia="en-US"/>
        </w:rPr>
        <w:t xml:space="preserve">».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Максимальная оценка за конкурсное испытание – </w:t>
      </w:r>
      <w:r>
        <w:rPr>
          <w:b/>
          <w:bCs/>
          <w:sz w:val="24"/>
          <w:szCs w:val="24"/>
        </w:rPr>
        <w:t>40 баллов.</w:t>
      </w:r>
    </w:p>
    <w:tbl>
      <w:tblPr>
        <w:tblW w:w="9525" w:type="dxa"/>
        <w:jc w:val="left"/>
        <w:tblInd w:w="13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71"/>
        <w:gridCol w:w="1200"/>
        <w:gridCol w:w="1183"/>
        <w:gridCol w:w="1019"/>
        <w:gridCol w:w="1139"/>
        <w:gridCol w:w="1065"/>
        <w:gridCol w:w="1147"/>
      </w:tblGrid>
      <w:tr>
        <w:trPr>
          <w:trHeight w:val="306" w:hRule="atLeast"/>
        </w:trPr>
        <w:tc>
          <w:tcPr>
            <w:tcW w:w="27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ind w:left="57" w:right="57" w:hanging="0"/>
              <w:jc w:val="center"/>
              <w:rPr>
                <w:rFonts w:ascii="Times New Roman" w:hAnsi="Times New Roman"/>
                <w:i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</w:r>
          </w:p>
          <w:p>
            <w:pPr>
              <w:pStyle w:val="Normal"/>
              <w:ind w:left="57" w:right="57" w:hanging="0"/>
              <w:jc w:val="center"/>
              <w:rPr>
                <w:highlight w:val="yellow"/>
              </w:rPr>
            </w:pPr>
            <w:r>
              <w:rPr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675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ind w:left="29" w:hanging="0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Баллы</w:t>
            </w:r>
          </w:p>
        </w:tc>
      </w:tr>
      <w:tr>
        <w:trPr>
          <w:trHeight w:val="795" w:hRule="atLeast"/>
        </w:trPr>
        <w:tc>
          <w:tcPr>
            <w:tcW w:w="277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1"/>
              </w:numPr>
              <w:tabs>
                <w:tab w:val="clear" w:pos="708"/>
                <w:tab w:val="left" w:pos="421" w:leader="none"/>
              </w:tabs>
              <w:ind w:left="57" w:right="57" w:hanging="283"/>
              <w:rPr>
                <w:rFonts w:ascii="Times New Roman" w:hAnsi="Times New Roman"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не владеет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владеет недостаточно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владеет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владеет в необходимой мере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владеет в достаточной мере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sz w:val="24"/>
                <w:szCs w:val="24"/>
              </w:rPr>
              <w:t>владеет в полной мере</w:t>
            </w:r>
          </w:p>
        </w:tc>
      </w:tr>
      <w:tr>
        <w:trPr>
          <w:trHeight w:val="276" w:hRule="atLeast"/>
        </w:trPr>
        <w:tc>
          <w:tcPr>
            <w:tcW w:w="27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bidi w:val="0"/>
              <w:spacing w:lineRule="auto" w:line="240" w:before="0" w:after="0"/>
              <w:ind w:right="57" w:hanging="0"/>
              <w:contextualSpacing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1. Знание и понимание современных тенденций развития дополнительного образования детей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>
        <w:trPr>
          <w:trHeight w:val="545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2. Общая и профессиональная</w:t>
            </w:r>
          </w:p>
          <w:p>
            <w:pPr>
              <w:pStyle w:val="ListParagraph"/>
              <w:tabs>
                <w:tab w:val="clear" w:pos="708"/>
                <w:tab w:val="left" w:pos="459" w:leader="none"/>
              </w:tabs>
              <w:ind w:left="34" w:right="57" w:hanging="0"/>
              <w:jc w:val="left"/>
              <w:rPr>
                <w:highlight w:val="yellow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эрудиция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3. Владение риторическими</w:t>
            </w:r>
          </w:p>
          <w:p>
            <w:pPr>
              <w:pStyle w:val="ListParagraph"/>
              <w:tabs>
                <w:tab w:val="clear" w:pos="708"/>
                <w:tab w:val="left" w:pos="459" w:leader="none"/>
              </w:tabs>
              <w:ind w:left="34" w:right="57" w:hanging="0"/>
              <w:jc w:val="left"/>
              <w:rPr>
                <w:highlight w:val="yellow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навыками публичной деловой</w:t>
            </w:r>
          </w:p>
          <w:p>
            <w:pPr>
              <w:pStyle w:val="ListParagraph"/>
              <w:tabs>
                <w:tab w:val="clear" w:pos="708"/>
                <w:tab w:val="left" w:pos="459" w:leader="none"/>
              </w:tabs>
              <w:ind w:left="34" w:right="57" w:hanging="0"/>
              <w:jc w:val="left"/>
              <w:rPr>
                <w:highlight w:val="yellow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речи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4. Креативность и оригинальность предложений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5. Реалистичность и ответственность в суждениях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6. Точность в представлении</w:t>
            </w:r>
          </w:p>
          <w:p>
            <w:pPr>
              <w:pStyle w:val="ListParagraph"/>
              <w:tabs>
                <w:tab w:val="clear" w:pos="708"/>
                <w:tab w:val="left" w:pos="459" w:leader="none"/>
              </w:tabs>
              <w:ind w:left="34" w:right="57" w:hanging="0"/>
              <w:jc w:val="left"/>
              <w:rPr>
                <w:highlight w:val="yellow"/>
              </w:rPr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решений и выводов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7.Аргументированностьобоснованность, логичность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0"/>
              </w:numPr>
              <w:tabs>
                <w:tab w:val="clear" w:pos="708"/>
                <w:tab w:val="left" w:pos="459" w:leader="none"/>
              </w:tabs>
              <w:ind w:right="57" w:hanging="0"/>
              <w:jc w:val="left"/>
              <w:rPr/>
            </w:pPr>
            <w:r>
              <w:rPr>
                <w:rFonts w:eastAsia="Calibri" w:eastAsiaTheme="minorHAnsi"/>
                <w:sz w:val="24"/>
                <w:szCs w:val="24"/>
                <w:lang w:eastAsia="en-US"/>
              </w:rPr>
              <w:t>8. Деловая этика и культура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0" w:type="dxa"/>
              <w:right w:w="10" w:type="dxa"/>
            </w:tcMar>
            <w:vAlign w:val="center"/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iCs/>
                <w:sz w:val="24"/>
                <w:szCs w:val="24"/>
                <w:lang w:eastAsia="en-US"/>
              </w:rPr>
              <w:t>5</w:t>
            </w:r>
          </w:p>
        </w:tc>
      </w:tr>
      <w:tr>
        <w:trPr>
          <w:trHeight w:val="1" w:hRule="atLeast"/>
        </w:trPr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421" w:leader="none"/>
              </w:tabs>
              <w:ind w:right="57" w:hanging="0"/>
              <w:jc w:val="right"/>
              <w:rPr>
                <w:highlight w:val="yellow"/>
              </w:rPr>
            </w:pPr>
            <w:r>
              <w:rPr>
                <w:rFonts w:eastAsia="Calibri" w:eastAsiaTheme="minorHAnsi"/>
                <w:b/>
                <w:bCs/>
                <w:color w:val="000000"/>
                <w:sz w:val="24"/>
                <w:szCs w:val="24"/>
                <w:lang w:eastAsia="en-US"/>
              </w:rPr>
              <w:t xml:space="preserve">Итоговый балл </w:t>
            </w:r>
            <w:r>
              <w:rPr>
                <w:rFonts w:eastAsia="Calibri"/>
                <w:i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6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tcMar>
              <w:left w:w="10" w:type="dxa"/>
              <w:right w:w="10" w:type="dxa"/>
            </w:tcMar>
          </w:tcPr>
          <w:p>
            <w:pPr>
              <w:pStyle w:val="Normal"/>
              <w:jc w:val="center"/>
              <w:rPr>
                <w:highlight w:val="yellow"/>
              </w:rPr>
            </w:pPr>
            <w:r>
              <w:rPr>
                <w:b/>
                <w:sz w:val="24"/>
                <w:szCs w:val="24"/>
              </w:rPr>
              <w:t>0 - 40</w:t>
            </w:r>
          </w:p>
        </w:tc>
      </w:tr>
    </w:tbl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455" w:right="91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059a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3c487a"/>
    <w:rPr>
      <w:rFonts w:ascii="Tahoma" w:hAnsi="Tahoma" w:eastAsia="Times New Roman" w:cs="Tahoma"/>
      <w:sz w:val="16"/>
      <w:szCs w:val="16"/>
      <w:lang w:eastAsia="ru-RU"/>
    </w:rPr>
  </w:style>
  <w:style w:type="character" w:styleId="FontStyle34" w:customStyle="1">
    <w:name w:val="Font Style34"/>
    <w:qFormat/>
    <w:rsid w:val="00850b97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nhideWhenUsed/>
    <w:qFormat/>
    <w:rsid w:val="006f3c3a"/>
    <w:pPr>
      <w:spacing w:beforeAutospacing="1" w:afterAutospacing="1"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3c487a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3c487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5" w:customStyle="1">
    <w:name w:val="Style25"/>
    <w:basedOn w:val="Normal"/>
    <w:qFormat/>
    <w:rsid w:val="00850b97"/>
    <w:pPr>
      <w:widowControl w:val="false"/>
      <w:spacing w:lineRule="exact" w:line="276"/>
      <w:jc w:val="center"/>
    </w:pPr>
    <w:rPr>
      <w:rFonts w:ascii="Arial" w:hAnsi="Arial"/>
    </w:rPr>
  </w:style>
  <w:style w:type="paragraph" w:styleId="Style91" w:customStyle="1">
    <w:name w:val="Style9"/>
    <w:basedOn w:val="Normal"/>
    <w:qFormat/>
    <w:rsid w:val="00850b97"/>
    <w:pPr>
      <w:widowControl w:val="false"/>
      <w:spacing w:lineRule="exact" w:line="278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50b97"/>
    <w:pPr>
      <w:spacing w:before="0" w:after="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/>
    <w:rPr/>
  </w:style>
  <w:style w:type="paragraph" w:styleId="Style2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9a480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Application>LibreOffice/6.3.3.2$Windows_X86_64 LibreOffice_project/a64200df03143b798afd1ec74a12ab50359878ed</Application>
  <Pages>8</Pages>
  <Words>1588</Words>
  <Characters>10011</Characters>
  <CharactersWithSpaces>11270</CharactersWithSpaces>
  <Paragraphs>415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2020-12-15T06:42:00Z</dcterms:created>
  <dc:creator>user</dc:creator>
  <dc:description/>
  <dc:language>ru-RU</dc:language>
  <cp:lastModifiedBy/>
  <dcterms:modified xsi:type="dcterms:W3CDTF">2023-10-05T12:44:21Z</dcterms:modified>
  <cp:revision>56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