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283" w:right="-57" w:hanging="0"/>
        <w:jc w:val="center"/>
        <w:rPr/>
      </w:pPr>
      <w:r>
        <w:rPr>
          <w:b/>
          <w:i/>
          <w:iCs/>
          <w:sz w:val="28"/>
          <w:szCs w:val="28"/>
        </w:rPr>
        <w:t xml:space="preserve">Проведение </w:t>
      </w:r>
      <w:r>
        <w:rPr>
          <w:rFonts w:cs="Times New Roman"/>
          <w:b/>
          <w:i/>
          <w:iCs/>
          <w:sz w:val="28"/>
          <w:szCs w:val="28"/>
        </w:rPr>
        <w:t>муниципального этапа Всероссийского конкурса профессионального мастерства работников сферы дополнительного образования учреждений образования города Омска, подведомственных департаменту образования Администрации города Омска,</w:t>
      </w:r>
    </w:p>
    <w:p>
      <w:pPr>
        <w:pStyle w:val="Normal"/>
        <w:widowControl/>
        <w:bidi w:val="0"/>
        <w:spacing w:lineRule="auto" w:line="240" w:before="0" w:after="0"/>
        <w:ind w:left="283" w:right="-57" w:hanging="0"/>
        <w:jc w:val="center"/>
        <w:rPr/>
      </w:pPr>
      <w:r>
        <w:rPr>
          <w:rFonts w:cs="Times New Roman"/>
          <w:b/>
          <w:i/>
          <w:iCs/>
          <w:sz w:val="28"/>
          <w:szCs w:val="28"/>
        </w:rPr>
        <w:t>«Сердце отдаю детям»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ЗАОЧНЫЙ ТУР</w:t>
      </w:r>
    </w:p>
    <w:p>
      <w:pPr>
        <w:pStyle w:val="Normal"/>
        <w:spacing w:lineRule="auto" w:line="259"/>
        <w:ind w:left="2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Конкурсное испытание</w:t>
      </w:r>
    </w:p>
    <w:p>
      <w:pPr>
        <w:pStyle w:val="Normal"/>
        <w:spacing w:lineRule="auto" w:line="259"/>
        <w:ind w:left="2" w:hanging="0"/>
        <w:jc w:val="center"/>
        <w:rPr/>
      </w:pPr>
      <w:r>
        <w:rPr>
          <w:b/>
          <w:sz w:val="28"/>
          <w:szCs w:val="28"/>
        </w:rPr>
        <w:t>«Дополнительная общеобразовательная (общеразвивающая или предпрофессиональная) программа и сведения о результативности и качестве реализации дополнительной общеобразовательной программы»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Оценка конкурсного испытания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осуществляется по 7 критериям.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>Критерий включает 5 показателей, раскрывающих содержание критерия.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Варианты оценки по показателю имеют следующее выражение в баллах: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4 балла –</w:t>
      </w:r>
      <w:r>
        <w:rPr>
          <w:sz w:val="24"/>
          <w:szCs w:val="24"/>
        </w:rPr>
        <w:t xml:space="preserve"> «соответствует в полной мере»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3 балла – </w:t>
      </w:r>
      <w:r>
        <w:rPr>
          <w:sz w:val="24"/>
          <w:szCs w:val="24"/>
        </w:rPr>
        <w:t>«соответствует в достаточной мере»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2 балла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соответствует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»;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1 балл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соответствует с недочетами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»;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0 баллов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не соответствует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Максимальная оценка за конкурсное испытание – </w:t>
      </w:r>
      <w:r>
        <w:rPr>
          <w:b/>
          <w:bCs/>
          <w:sz w:val="24"/>
          <w:szCs w:val="24"/>
        </w:rPr>
        <w:t>28 баллов.</w:t>
      </w:r>
    </w:p>
    <w:tbl>
      <w:tblPr>
        <w:tblW w:w="9465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12"/>
        <w:gridCol w:w="1259"/>
        <w:gridCol w:w="1351"/>
        <w:gridCol w:w="1302"/>
        <w:gridCol w:w="1302"/>
        <w:gridCol w:w="1538"/>
      </w:tblGrid>
      <w:tr>
        <w:trPr>
          <w:trHeight w:val="235" w:hRule="atLeast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21" w:leader="none"/>
              </w:tabs>
              <w:ind w:right="57" w:hanging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421" w:leader="none"/>
              </w:tabs>
              <w:ind w:right="57" w:hanging="0"/>
              <w:jc w:val="center"/>
              <w:rPr>
                <w:highlight w:val="yellow"/>
              </w:rPr>
            </w:pPr>
            <w:r>
              <w:rPr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6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>
        <w:trPr>
          <w:trHeight w:val="795" w:hRule="atLeast"/>
        </w:trPr>
        <w:tc>
          <w:tcPr>
            <w:tcW w:w="2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421" w:leader="none"/>
              </w:tabs>
              <w:ind w:left="57" w:right="57" w:hanging="283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соответствует с  недочетами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>
        <w:trPr>
          <w:trHeight w:val="276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1. Наличие на сайте утвержденной дополнительной общеобразовательной программы (ДОП)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2. Соответствие структуры ДОП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  <w:tr>
        <w:trPr>
          <w:trHeight w:val="1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3. Соответствие содержания ДОП направленности, цели, задачам обучения и воспитания целевой аудитории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4. Наличие и целесообразность планируемых результатов, организационно-педагогических условий, порядка и форм текущего контроля и промежуточной аттестации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5. Наличие и целесообразность оценочных и методических материалов ДОП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6. Наличие положительной динамики результативности за текущий период реализации ДОП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7. Наличие системы оценки качества реализации Программы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8"/>
                <w:tab w:val="left" w:pos="459" w:leader="none"/>
              </w:tabs>
              <w:ind w:left="720" w:right="57" w:hanging="0"/>
              <w:jc w:val="right"/>
              <w:rPr/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Итоговый балл </w:t>
            </w:r>
            <w:r>
              <w:rPr>
                <w:rFonts w:eastAsia="Calibri"/>
                <w:i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0 - 28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-567" w:right="-737" w:hanging="0"/>
        <w:jc w:val="center"/>
        <w:rPr>
          <w:rFonts w:ascii="Times New Roman" w:hAnsi="Times New Roman" w:eastAsia="Calibri" w:eastAsiaTheme="minorHAnsi"/>
          <w:color w:val="000000"/>
          <w:sz w:val="24"/>
          <w:szCs w:val="24"/>
          <w:lang w:eastAsia="en-US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Конкурсное испытание «</w:t>
      </w:r>
      <w:r>
        <w:rPr>
          <w:b/>
          <w:bCs/>
          <w:sz w:val="28"/>
          <w:szCs w:val="28"/>
        </w:rPr>
        <w:t>Занятие» (видеозапись)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Оценка конкурсного испытания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осуществляется по 5 критериям.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Варианты оценки по показателю имеют следующее выражение в баллах: </w:t>
      </w:r>
    </w:p>
    <w:p>
      <w:pPr>
        <w:pStyle w:val="Normal"/>
        <w:rPr>
          <w:b/>
          <w:b/>
          <w:bCs/>
        </w:rPr>
      </w:pPr>
      <w:r>
        <w:rPr>
          <w:rFonts w:eastAsia="Calibri" w:eastAsiaTheme="minorHAnsi"/>
          <w:b w:val="false"/>
          <w:bCs w:val="false"/>
          <w:color w:val="000000"/>
          <w:sz w:val="24"/>
          <w:szCs w:val="24"/>
          <w:lang w:eastAsia="en-US"/>
        </w:rPr>
        <w:t xml:space="preserve">2 балла - «показатель проявлен в полной мере»; </w:t>
      </w:r>
    </w:p>
    <w:p>
      <w:pPr>
        <w:pStyle w:val="Normal"/>
        <w:rPr>
          <w:b/>
          <w:b/>
          <w:bCs/>
        </w:rPr>
      </w:pPr>
      <w:r>
        <w:rPr>
          <w:rFonts w:eastAsia="Calibri" w:eastAsiaTheme="minorHAnsi"/>
          <w:b w:val="false"/>
          <w:bCs w:val="false"/>
          <w:color w:val="000000"/>
          <w:sz w:val="24"/>
          <w:szCs w:val="24"/>
          <w:lang w:eastAsia="en-US"/>
        </w:rPr>
        <w:t xml:space="preserve">1 балл - «показатель проявлен частично»; </w:t>
      </w:r>
    </w:p>
    <w:p>
      <w:pPr>
        <w:pStyle w:val="Normal"/>
        <w:rPr>
          <w:b/>
          <w:b/>
          <w:bCs/>
        </w:rPr>
      </w:pPr>
      <w:r>
        <w:rPr>
          <w:rFonts w:eastAsia="Calibri" w:eastAsiaTheme="minorHAnsi"/>
          <w:b w:val="false"/>
          <w:bCs w:val="false"/>
          <w:color w:val="000000"/>
          <w:sz w:val="24"/>
          <w:szCs w:val="24"/>
          <w:lang w:eastAsia="en-US"/>
        </w:rPr>
        <w:t xml:space="preserve">0 баллов - «показатель не проявлен». </w:t>
      </w:r>
    </w:p>
    <w:p>
      <w:pPr>
        <w:pStyle w:val="Normal"/>
        <w:jc w:val="both"/>
        <w:rPr/>
      </w:pPr>
      <w:r>
        <w:rPr>
          <w:sz w:val="24"/>
          <w:szCs w:val="24"/>
        </w:rPr>
        <w:t>Максимальная оценка за конкурсное испытание «</w:t>
      </w:r>
      <w:r>
        <w:rPr>
          <w:bCs/>
          <w:sz w:val="24"/>
          <w:szCs w:val="24"/>
        </w:rPr>
        <w:t xml:space="preserve">Занятие» </w:t>
      </w:r>
      <w:r>
        <w:rPr>
          <w:sz w:val="24"/>
          <w:szCs w:val="24"/>
        </w:rPr>
        <w:t>видеозапись,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заочный тур – </w:t>
      </w:r>
      <w:r>
        <w:rPr>
          <w:b/>
          <w:bCs/>
          <w:sz w:val="24"/>
          <w:szCs w:val="24"/>
        </w:rPr>
        <w:t>50 баллов</w:t>
      </w:r>
    </w:p>
    <w:tbl>
      <w:tblPr>
        <w:tblStyle w:val="a6"/>
        <w:tblW w:w="9525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9"/>
        <w:gridCol w:w="1305"/>
      </w:tblGrid>
      <w:tr>
        <w:trPr/>
        <w:tc>
          <w:tcPr>
            <w:tcW w:w="9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Корректность и глубина понимания содержания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максимальная оценка по критерию 10 баллов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1.1 ориентируется на цели, задачи и планируемые результаты при отборе учебного материала и проведении занятия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1.2 акцентирует внимание на смысловых и ценностных аспектах содержания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16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 показывает практическую ценность содержания занятия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1.4 демонстрирует глубокое понимание содержания и профессиональный кругозор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1.5 владеет профессиональной терминологией и корректно использует понятийный аппарат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Методическая и психолого-педагогическая грамотность при проведении занятия и поддержка учебной мотивации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максимальная оценка по критерию 10 баллов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2.1 системно и последовательно организует работу на занятии с оптимальным объемом учебной информации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2.2 создает на занятии мотивирующую и доброжелательную образовательную среду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16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2.3 учитывает возрастные и социокультурные особенности учащихся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2.4 демонстрирует преемственность своих методических принципов и теоретических разработок с практикой проведения занятия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2.5 реализует здоровьесберегающие подходы, использует приемы снятия психофизического напряжения и органичную смену видов учебной деятельности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20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9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Творческий и адекватный подход к решению профессиональных задач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максимальная оценка по критерию 10 баллов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3.1 стимулирует познавательный интерес, творческую и исследовательскую активность обучающихся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3.2 создает на занятии целесообразные проблемные ситуации, ситуации значимого выбора и принятия решений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16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3.3 демонстрирует педагогическую гибкость, готовность к импровизации, способность вносить оптимальные коррективы в структуру и содержание занятия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3.4 целесообразно применяет педагогические технологии (в том числе ИКТ)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3.5 адекватно использует свои авторские разработки и творчески перерабатывает базовые педагогические материалы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20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9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Коммуникативная и речевая культура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максимальная оценка по критерию 10 баллов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4.1 учитывает при выстраивании коммуникации возрастные и поведенческие особенности обучающихся, успешно преодолевает коммуникативные барьеры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4.2 целесообразно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разнообразные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адекватную визуализацию и эффективные способы коммуникации,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демонстрируя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 речевой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16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4.3 использует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эффективной обратной связи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4.4 поддерживает различные способы конструктивного взаимодействия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учебной кооперации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4.5 способствует развитию речевой культуры обучающихся, умения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 вопросы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20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 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9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Целеполагание и результативность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максимальная оценка по критерию 10 баллов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 использует эффективные педагогические подходы для достижения образовательных результатов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5.2 соотносит цели, задачи и планируемые результаты при организации учебной активности, поддерживает осознанное отношение к познавательной деятельности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16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5.3 поддерживает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ориентацию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успешность обучающихся,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обеспечивая достижение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планируемого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5.4 помогает обучающимся проявлять свою самостоятельность и индивидуальность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/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5.5 целесообразно и точно использует разные способы оценивания образовательных результатов и способствует развитию рефлексивной культуры обучающегося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</w:tr>
      <w:tr>
        <w:trPr>
          <w:trHeight w:val="320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 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82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 по заочному туру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0 - 50</w:t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ОЧНЫЙ ТУР</w:t>
      </w:r>
    </w:p>
    <w:p>
      <w:pPr>
        <w:pStyle w:val="Normal"/>
        <w:tabs>
          <w:tab w:val="clear" w:pos="708"/>
          <w:tab w:val="left" w:pos="107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Конкурсное испытание «Открытый  мастер-класс</w:t>
      </w:r>
    </w:p>
    <w:p>
      <w:pPr>
        <w:pStyle w:val="Normal"/>
        <w:tabs>
          <w:tab w:val="clear" w:pos="708"/>
          <w:tab w:val="left" w:pos="107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«Новые формы организации обучения и воспитания детей</w:t>
      </w:r>
    </w:p>
    <w:p>
      <w:pPr>
        <w:pStyle w:val="Normal"/>
        <w:tabs>
          <w:tab w:val="clear" w:pos="708"/>
          <w:tab w:val="left" w:pos="107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в дополнительном образовании»</w:t>
      </w:r>
    </w:p>
    <w:p>
      <w:pPr>
        <w:pStyle w:val="Normal"/>
        <w:jc w:val="both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Оценка конкурсного испытания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осуществляется по 10 критериям.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Варианты оценки по показателю имеют следующее выражение в баллах: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5 баллов –</w:t>
      </w:r>
      <w:r>
        <w:rPr>
          <w:sz w:val="24"/>
          <w:szCs w:val="24"/>
        </w:rPr>
        <w:t xml:space="preserve"> «достиг совершенства профессионального мастерства»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4 балла –</w:t>
      </w:r>
      <w:r>
        <w:rPr>
          <w:sz w:val="24"/>
          <w:szCs w:val="24"/>
        </w:rPr>
        <w:t xml:space="preserve"> «умеет в полной мере»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3 балла – «</w:t>
      </w:r>
      <w:r>
        <w:rPr>
          <w:sz w:val="24"/>
          <w:szCs w:val="24"/>
        </w:rPr>
        <w:t>умеет в достаточной мере»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2 балла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умеет в необходимой мере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»;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1 балл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умеет недостаточно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»;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0 баллов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не умеет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Максимальная оценка за конкурсное испытание – </w:t>
      </w:r>
      <w:r>
        <w:rPr>
          <w:b/>
          <w:bCs/>
          <w:sz w:val="24"/>
          <w:szCs w:val="24"/>
        </w:rPr>
        <w:t>50 баллов.</w:t>
      </w:r>
    </w:p>
    <w:tbl>
      <w:tblPr>
        <w:tblW w:w="9465" w:type="dxa"/>
        <w:jc w:val="left"/>
        <w:tblInd w:w="16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91"/>
        <w:gridCol w:w="1124"/>
        <w:gridCol w:w="1080"/>
        <w:gridCol w:w="959"/>
        <w:gridCol w:w="914"/>
        <w:gridCol w:w="1305"/>
        <w:gridCol w:w="1191"/>
      </w:tblGrid>
      <w:tr>
        <w:trPr>
          <w:trHeight w:val="306" w:hRule="atLeast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7" w:right="57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Normal"/>
              <w:ind w:left="57" w:right="57" w:hanging="0"/>
              <w:jc w:val="center"/>
              <w:rPr>
                <w:highlight w:val="yellow"/>
              </w:rPr>
            </w:pPr>
            <w:r>
              <w:rPr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657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ind w:left="2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>
        <w:trPr>
          <w:trHeight w:val="795" w:hRule="atLeast"/>
        </w:trPr>
        <w:tc>
          <w:tcPr>
            <w:tcW w:w="28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421" w:leader="none"/>
              </w:tabs>
              <w:ind w:left="57" w:right="57" w:hanging="283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в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димой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в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достаточ-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ной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полной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профессионального мастерства</w:t>
            </w:r>
          </w:p>
        </w:tc>
      </w:tr>
      <w:tr>
        <w:trPr>
          <w:trHeight w:val="276" w:hRule="atLeast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421" w:leader="none"/>
              </w:tabs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1. Умение выявить и представить новую форму организации обучения и воспитания детей в дополнительном об</w:t>
              <w:softHyphen/>
              <w:t>разовании в рамках реализуемой ДОП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545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2. Умение дифференцировать и предъявить новые профессиональные компетенции по внедрению новых форм в обучение и воспитание детей по ДОП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3. Умение представить педагогически обоснованные и эффективные формы, методы, средства и приемы обучения и воспитания детей в рамках ДОП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4. Умение вовлечь слушателей мастер-класса в конструктивный диалог и достичь планируемого результата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5. Умение целесообразного и обоснованного использования информационно-коммуникационных технологий (ИКТ), электронных образовательных и информационных ресурсов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6. Умение отрефлексировать и представить эффективные практики методического обеспечения качества реализации ДОП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7. Умение отрефлексировать и  представить эффективные практики методического сопровождения профориентации обучающихся при реализации ДОП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57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8. Умение отрефлексировать и  представить эффективные практики методического сопровождения благоприятного психологического климата и педагогической поддержки обучающихся, в том числе уязвимых категорий, при реализации ДОП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 xml:space="preserve">9. Умение обеспечить целостность и завершённость мастер-класса, оригинальность формы его проведения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57" w:hanging="0"/>
              <w:contextualSpacing/>
              <w:jc w:val="left"/>
              <w:rPr/>
            </w:pPr>
            <w:r>
              <w:rPr>
                <w:sz w:val="24"/>
                <w:szCs w:val="24"/>
              </w:rPr>
              <w:t>10. 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21" w:leader="none"/>
              </w:tabs>
              <w:ind w:right="57" w:hanging="0"/>
              <w:jc w:val="right"/>
              <w:rPr/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Итоговый балл </w:t>
            </w:r>
            <w:r>
              <w:rPr>
                <w:rFonts w:eastAsia="Calibri"/>
                <w:i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6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0 - 50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highlight w:val="yellow"/>
        </w:rPr>
      </w:pPr>
      <w:r>
        <w:rPr>
          <w:b/>
          <w:sz w:val="28"/>
          <w:szCs w:val="28"/>
        </w:rPr>
        <w:t>Конкурсное испытание «Выступление (импровизация)»</w:t>
      </w:r>
    </w:p>
    <w:p>
      <w:pPr>
        <w:pStyle w:val="Normal"/>
        <w:jc w:val="both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Оценка конкурсного испытания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осуществляется по 3 критериям.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>Каждый показатель оценивается по шкале от 0 до 2 баллов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0 баллов – «показатель не проявлен»,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1 балл – «показатель проявлен частично»,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2 балла – «показатель проявлен в полной мере».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Максимальная оценка за конкурсное испытание – 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20 баллов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. </w:t>
      </w:r>
    </w:p>
    <w:tbl>
      <w:tblPr>
        <w:tblW w:w="9525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2"/>
        <w:gridCol w:w="7545"/>
        <w:gridCol w:w="1308"/>
      </w:tblGrid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Баллы 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Общая и профессиональная педагогическая эрудиция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демонстрирует знание и понимание современных тенденций развития дополнительного образования детей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1.2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 xml:space="preserve">демонстрирует знание и понимание нормативно-правовых актов, регламентирующих дополнительное образование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демонстрирует глубокое понимание предложенной профессиональной темы, способен представить собственную позицию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1.4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приводит конструктивные и реалистичные аргументы при обосновании собственной позиции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Ценностные ориентиры в профессиональной деятельности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2.1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демонстрирует понимание роли педагога в развитии российского дополнительного образования в целом, а также в разрезе предложенной темы, в частности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2.2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способен критически отнестись к своей профессиональной компетентности, демонстрирует готовность к совершенствованию собственных профессиональных качеств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2.3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 xml:space="preserve">обозначает приоритеты своей профессиональной деятельности, подтверждает их конкретными примерами из своего педагогического опыта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Коммуникативная и языковая культура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3.1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56"/>
              <w:jc w:val="both"/>
              <w:rPr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владеет риторическими навыками публичной деловой речи, языковой грамотностью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3.2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69"/>
              <w:jc w:val="both"/>
              <w:rPr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способен логически правильно излагать мысли, подкреплять содержание аргументами и конкретными примерами и фактами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69"/>
              <w:jc w:val="both"/>
              <w:rPr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выступление построено с учетом целевой аудитории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</w:t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3.3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69"/>
              <w:jc w:val="both"/>
              <w:rPr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правильно реагирует на вопросы, дает развернутые ответы, проявляет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такт,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культуру общения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10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Итоговый балл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0-20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color w:val="000000"/>
          <w:sz w:val="28"/>
          <w:szCs w:val="28"/>
        </w:rPr>
      </w:pPr>
      <w:r>
        <w:rPr>
          <w:b/>
          <w:i w:val="false"/>
          <w:iCs w:val="false"/>
          <w:color w:val="000000"/>
          <w:sz w:val="28"/>
          <w:szCs w:val="28"/>
        </w:rPr>
        <w:t>ФИНАЛ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Конкурсное испытание «Педагогическое многоборье»</w:t>
      </w:r>
    </w:p>
    <w:p>
      <w:pPr>
        <w:pStyle w:val="Normal"/>
        <w:jc w:val="both"/>
        <w:rPr/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Оценка конкурсного испытания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осуществляется по 5 критериям. Варианты оценки по критерию имеют следующее выражение в баллах: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0 баллов - не владеет;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 – 2 балла - владеет в достаточной мере,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 балла – владеет в полной мере.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Максимальная оценка за конкурсное испытание – </w:t>
      </w:r>
      <w:r>
        <w:rPr>
          <w:b/>
          <w:bCs/>
          <w:sz w:val="24"/>
          <w:szCs w:val="24"/>
        </w:rPr>
        <w:t>15 баллов</w:t>
      </w:r>
    </w:p>
    <w:tbl>
      <w:tblPr>
        <w:tblW w:w="9465" w:type="dxa"/>
        <w:jc w:val="left"/>
        <w:tblInd w:w="16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6"/>
        <w:gridCol w:w="946"/>
        <w:gridCol w:w="1017"/>
        <w:gridCol w:w="960"/>
        <w:gridCol w:w="966"/>
      </w:tblGrid>
      <w:tr>
        <w:trPr>
          <w:trHeight w:val="1" w:hRule="atLeast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36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/>
              <w:ind w:left="2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>
        <w:trPr>
          <w:trHeight w:val="1" w:hRule="atLeast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21" w:leader="none"/>
              </w:tabs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</w:rPr>
              <w:t xml:space="preserve">Решение проблемной ситуации направлено на поиск причины ее возникновения, а не только на устранение видимых последствий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21" w:leader="none"/>
              </w:tabs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целесообразные ситуациям и задачам методы и технологии решения. </w:t>
            </w:r>
            <w:r>
              <w:rPr>
                <w:rFonts w:eastAsia="Calibri"/>
                <w:sz w:val="24"/>
                <w:szCs w:val="24"/>
                <w:shd w:fill="auto" w:val="clear"/>
              </w:rPr>
              <w:t xml:space="preserve"> Предложены альтернативные варианты решения проблемной ситуации (1 и более)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21" w:leader="none"/>
              </w:tabs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</w:rPr>
              <w:t>Перечень запланированных мероприятий обеспечивает решение представленных проблем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21" w:leader="none"/>
              </w:tabs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Практикоориентированная обоснованность решения ситуации (приведены примеры из своей деятельности)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421" w:leader="none"/>
              </w:tabs>
              <w:ind w:left="3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</w:rPr>
              <w:t>Даны обоснованные ответы на все поступившие вопросы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21" w:leader="none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Итоговый балл </w:t>
            </w:r>
            <w:r>
              <w:rPr>
                <w:rFonts w:eastAsia="Calibri"/>
                <w:i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0 - 15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Конкурсное испытание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«Свободная педагогическая дискуссия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«Высшая Лига дополнительного образования детей»</w:t>
      </w:r>
    </w:p>
    <w:p>
      <w:pPr>
        <w:pStyle w:val="Normal"/>
        <w:jc w:val="both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Оценка конкурсного испытания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осуществляется по 8 критериям.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Варианты оценки по показателю имеют следующее выражение в баллах: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5 баллов –</w:t>
      </w:r>
      <w:r>
        <w:rPr>
          <w:sz w:val="24"/>
          <w:szCs w:val="24"/>
        </w:rPr>
        <w:t xml:space="preserve"> «владеет в полной мере»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4 балла –</w:t>
      </w:r>
      <w:r>
        <w:rPr>
          <w:sz w:val="24"/>
          <w:szCs w:val="24"/>
        </w:rPr>
        <w:t xml:space="preserve"> «владеет в достаточной мере»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3 балла – «</w:t>
      </w:r>
      <w:r>
        <w:rPr>
          <w:sz w:val="24"/>
          <w:szCs w:val="24"/>
        </w:rPr>
        <w:t>владеет в необходимой мере»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2 балла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владеет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»;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1 балл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владеет недостаточно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»; </w:t>
      </w:r>
    </w:p>
    <w:p>
      <w:pPr>
        <w:pStyle w:val="Normal"/>
        <w:rPr>
          <w:highlight w:val="yellow"/>
        </w:rPr>
      </w:pP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0 баллов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>«</w:t>
      </w:r>
      <w:r>
        <w:rPr>
          <w:sz w:val="24"/>
          <w:szCs w:val="24"/>
        </w:rPr>
        <w:t>не владеет</w:t>
      </w:r>
      <w:r>
        <w:rPr>
          <w:rFonts w:eastAsia="Calibri" w:eastAsiaTheme="minorHAnsi"/>
          <w:bCs/>
          <w:color w:val="000000"/>
          <w:sz w:val="24"/>
          <w:szCs w:val="24"/>
          <w:lang w:eastAsia="en-US"/>
        </w:rPr>
        <w:t xml:space="preserve">».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Максимальная оценка за конкурсное испытание – </w:t>
      </w:r>
      <w:r>
        <w:rPr>
          <w:b/>
          <w:bCs/>
          <w:sz w:val="24"/>
          <w:szCs w:val="24"/>
        </w:rPr>
        <w:t>40 баллов.</w:t>
      </w:r>
    </w:p>
    <w:tbl>
      <w:tblPr>
        <w:tblW w:w="9525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1"/>
        <w:gridCol w:w="1200"/>
        <w:gridCol w:w="1183"/>
        <w:gridCol w:w="1019"/>
        <w:gridCol w:w="1139"/>
        <w:gridCol w:w="1065"/>
        <w:gridCol w:w="1147"/>
      </w:tblGrid>
      <w:tr>
        <w:trPr>
          <w:trHeight w:val="306" w:hRule="atLeast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57" w:right="57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Normal"/>
              <w:ind w:left="57" w:right="57" w:hanging="0"/>
              <w:jc w:val="center"/>
              <w:rPr>
                <w:highlight w:val="yellow"/>
              </w:rPr>
            </w:pPr>
            <w:r>
              <w:rPr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67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ind w:left="29" w:hanging="0"/>
              <w:jc w:val="center"/>
              <w:rPr>
                <w:highlight w:val="yellow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>
        <w:trPr>
          <w:trHeight w:val="795" w:hRule="atLeast"/>
        </w:trPr>
        <w:tc>
          <w:tcPr>
            <w:tcW w:w="27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421" w:leader="none"/>
              </w:tabs>
              <w:ind w:left="57" w:right="57" w:hanging="283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не владеет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владеет недостаточно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владеет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владеет в необходимой мере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владеет в достаточной мере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владеет в полной мере</w:t>
            </w:r>
          </w:p>
        </w:tc>
      </w:tr>
      <w:tr>
        <w:trPr>
          <w:trHeight w:val="276" w:hRule="atLeast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bidi w:val="0"/>
              <w:spacing w:lineRule="auto" w:line="240" w:before="0" w:after="0"/>
              <w:ind w:right="57" w:hanging="0"/>
              <w:contextualSpacing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1. Знание и понимание современных тенденций развития дополнительного образования детей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>
        <w:trPr>
          <w:trHeight w:val="545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ind w:right="57" w:hanging="0"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2. Общая и профессиональная</w:t>
            </w:r>
          </w:p>
          <w:p>
            <w:pPr>
              <w:pStyle w:val="ListParagraph"/>
              <w:tabs>
                <w:tab w:val="clear" w:pos="708"/>
                <w:tab w:val="left" w:pos="459" w:leader="none"/>
              </w:tabs>
              <w:ind w:left="34" w:right="57" w:hanging="0"/>
              <w:jc w:val="left"/>
              <w:rPr>
                <w:highlight w:val="yellow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эрудиция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ind w:right="57" w:hanging="0"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3. Владение риторическими</w:t>
            </w:r>
          </w:p>
          <w:p>
            <w:pPr>
              <w:pStyle w:val="ListParagraph"/>
              <w:tabs>
                <w:tab w:val="clear" w:pos="708"/>
                <w:tab w:val="left" w:pos="459" w:leader="none"/>
              </w:tabs>
              <w:ind w:left="34" w:right="57" w:hanging="0"/>
              <w:jc w:val="left"/>
              <w:rPr>
                <w:highlight w:val="yellow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навыками публичной деловой</w:t>
            </w:r>
          </w:p>
          <w:p>
            <w:pPr>
              <w:pStyle w:val="ListParagraph"/>
              <w:tabs>
                <w:tab w:val="clear" w:pos="708"/>
                <w:tab w:val="left" w:pos="459" w:leader="none"/>
              </w:tabs>
              <w:ind w:left="34" w:right="57" w:hanging="0"/>
              <w:jc w:val="left"/>
              <w:rPr>
                <w:highlight w:val="yellow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ind w:right="57" w:hanging="0"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4. Креативность и оригинальность предложений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ind w:right="57" w:hanging="0"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5. Реалистичность и ответственность в суждениях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ind w:right="57" w:hanging="0"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6. Точность в представлении</w:t>
            </w:r>
          </w:p>
          <w:p>
            <w:pPr>
              <w:pStyle w:val="ListParagraph"/>
              <w:tabs>
                <w:tab w:val="clear" w:pos="708"/>
                <w:tab w:val="left" w:pos="459" w:leader="none"/>
              </w:tabs>
              <w:ind w:left="34" w:right="57" w:hanging="0"/>
              <w:jc w:val="left"/>
              <w:rPr>
                <w:highlight w:val="yellow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решений и выводов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ind w:right="57" w:hanging="0"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7.Аргументированностьобоснованность, логичность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459" w:leader="none"/>
              </w:tabs>
              <w:ind w:right="57" w:hanging="0"/>
              <w:jc w:val="left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8. Деловая этика и культура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21" w:leader="none"/>
              </w:tabs>
              <w:ind w:right="57" w:hanging="0"/>
              <w:jc w:val="right"/>
              <w:rPr>
                <w:highlight w:val="yellow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Итоговый балл </w:t>
            </w:r>
            <w:r>
              <w:rPr>
                <w:rFonts w:eastAsia="Calibri"/>
                <w:i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6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b/>
                <w:sz w:val="24"/>
                <w:szCs w:val="24"/>
              </w:rPr>
              <w:t>0 - 40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55" w:right="91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59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c487a"/>
    <w:rPr>
      <w:rFonts w:ascii="Tahoma" w:hAnsi="Tahoma" w:eastAsia="Times New Roman" w:cs="Tahoma"/>
      <w:sz w:val="16"/>
      <w:szCs w:val="16"/>
      <w:lang w:eastAsia="ru-RU"/>
    </w:rPr>
  </w:style>
  <w:style w:type="character" w:styleId="FontStyle34" w:customStyle="1">
    <w:name w:val="Font Style34"/>
    <w:qFormat/>
    <w:rsid w:val="00850b9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6f3c3a"/>
    <w:pPr>
      <w:spacing w:beforeAutospacing="1" w:afterAutospacing="1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c487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3c487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5" w:customStyle="1">
    <w:name w:val="Style25"/>
    <w:basedOn w:val="Normal"/>
    <w:qFormat/>
    <w:rsid w:val="00850b97"/>
    <w:pPr>
      <w:widowControl w:val="false"/>
      <w:spacing w:lineRule="exact" w:line="276"/>
      <w:jc w:val="center"/>
    </w:pPr>
    <w:rPr>
      <w:rFonts w:ascii="Arial" w:hAnsi="Arial"/>
    </w:rPr>
  </w:style>
  <w:style w:type="paragraph" w:styleId="Style91" w:customStyle="1">
    <w:name w:val="Style9"/>
    <w:basedOn w:val="Normal"/>
    <w:qFormat/>
    <w:rsid w:val="00850b97"/>
    <w:pPr>
      <w:widowControl w:val="false"/>
      <w:spacing w:lineRule="exact" w:line="278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50b97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a480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LibreOffice/6.3.3.2$Windows_X86_64 LibreOffice_project/a64200df03143b798afd1ec74a12ab50359878ed</Application>
  <Pages>8</Pages>
  <Words>1588</Words>
  <Characters>10011</Characters>
  <CharactersWithSpaces>11270</CharactersWithSpaces>
  <Paragraphs>415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2020-12-15T06:42:00Z</dcterms:created>
  <dc:creator>user</dc:creator>
  <dc:description/>
  <dc:language>ru-RU</dc:language>
  <cp:lastModifiedBy/>
  <dcterms:modified xsi:type="dcterms:W3CDTF">2023-10-05T12:44:21Z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